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48E88" w14:textId="77777777" w:rsidR="00285D5F" w:rsidRPr="00285D5F" w:rsidRDefault="00285D5F" w:rsidP="00285D5F">
      <w:pPr>
        <w:jc w:val="right"/>
      </w:pPr>
      <w:r w:rsidRPr="00285D5F">
        <w:rPr>
          <w:b/>
          <w:noProof/>
          <w:sz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A184239" wp14:editId="0FB1819E">
            <wp:simplePos x="0" y="0"/>
            <wp:positionH relativeFrom="margin">
              <wp:posOffset>-632461</wp:posOffset>
            </wp:positionH>
            <wp:positionV relativeFrom="paragraph">
              <wp:posOffset>-518796</wp:posOffset>
            </wp:positionV>
            <wp:extent cx="1114425" cy="1114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 GGIM 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F32">
        <w:t>13 de junio</w:t>
      </w:r>
      <w:r w:rsidRPr="00285D5F">
        <w:t>, 201</w:t>
      </w:r>
      <w:r w:rsidR="005A0F32">
        <w:t>9</w:t>
      </w:r>
    </w:p>
    <w:p w14:paraId="3D0CB8BF" w14:textId="77777777" w:rsidR="00B71E45" w:rsidRDefault="00B71E45" w:rsidP="00285D5F">
      <w:pPr>
        <w:jc w:val="right"/>
      </w:pPr>
    </w:p>
    <w:p w14:paraId="2C1839DA" w14:textId="77777777" w:rsidR="005A0F32" w:rsidRDefault="005A0F32" w:rsidP="008B63E7">
      <w:pPr>
        <w:jc w:val="center"/>
        <w:rPr>
          <w:b/>
        </w:rPr>
      </w:pPr>
    </w:p>
    <w:p w14:paraId="38701818" w14:textId="77777777" w:rsidR="00285D5F" w:rsidRPr="008B63E7" w:rsidRDefault="003B2234" w:rsidP="008B63E7">
      <w:pPr>
        <w:jc w:val="center"/>
        <w:rPr>
          <w:b/>
        </w:rPr>
      </w:pPr>
      <w:r w:rsidRPr="008B63E7">
        <w:rPr>
          <w:b/>
        </w:rPr>
        <w:t xml:space="preserve">REUNIÓN WEBEX </w:t>
      </w:r>
      <w:r w:rsidR="00285D5F" w:rsidRPr="008B63E7">
        <w:rPr>
          <w:b/>
        </w:rPr>
        <w:t xml:space="preserve">DEL GRUPO DE TRABAJO EN </w:t>
      </w:r>
      <w:r w:rsidR="00CF2EF1">
        <w:rPr>
          <w:b/>
        </w:rPr>
        <w:t>INFRAESTRUCTURA DE DATOS GEOESPACIALES</w:t>
      </w:r>
      <w:r w:rsidR="00285D5F" w:rsidRPr="008B63E7">
        <w:rPr>
          <w:b/>
        </w:rPr>
        <w:t xml:space="preserve"> (GT</w:t>
      </w:r>
      <w:r w:rsidR="007D3740">
        <w:rPr>
          <w:b/>
        </w:rPr>
        <w:t>-</w:t>
      </w:r>
      <w:r w:rsidR="00CF2EF1">
        <w:rPr>
          <w:b/>
        </w:rPr>
        <w:t>IDE</w:t>
      </w:r>
      <w:r w:rsidR="00285D5F" w:rsidRPr="008B63E7">
        <w:rPr>
          <w:b/>
        </w:rPr>
        <w:t>)</w:t>
      </w:r>
    </w:p>
    <w:p w14:paraId="3F591787" w14:textId="77777777" w:rsidR="00285D5F" w:rsidRPr="008B63E7" w:rsidRDefault="00285D5F" w:rsidP="008B63E7">
      <w:pPr>
        <w:jc w:val="center"/>
        <w:rPr>
          <w:b/>
        </w:rPr>
      </w:pPr>
      <w:r w:rsidRPr="008B63E7">
        <w:rPr>
          <w:b/>
        </w:rPr>
        <w:t>MINUTA</w:t>
      </w:r>
    </w:p>
    <w:p w14:paraId="57E86278" w14:textId="77777777" w:rsidR="00285D5F" w:rsidRDefault="00022CA8" w:rsidP="000109B0">
      <w:pPr>
        <w:jc w:val="both"/>
      </w:pPr>
      <w:r w:rsidRPr="00022CA8">
        <w:t>El día</w:t>
      </w:r>
      <w:r w:rsidR="00285D5F" w:rsidRPr="00022CA8">
        <w:t xml:space="preserve"> </w:t>
      </w:r>
      <w:r w:rsidR="005A0F32">
        <w:t>13 de junio</w:t>
      </w:r>
      <w:r>
        <w:t xml:space="preserve"> de 201</w:t>
      </w:r>
      <w:r w:rsidR="005A0F32">
        <w:t>9</w:t>
      </w:r>
      <w:r>
        <w:t xml:space="preserve"> se llevó a cabo </w:t>
      </w:r>
      <w:r w:rsidR="005A0F32">
        <w:t>una</w:t>
      </w:r>
      <w:r>
        <w:t xml:space="preserve"> reunión </w:t>
      </w:r>
      <w:r w:rsidR="005A0F32">
        <w:t xml:space="preserve">virtual </w:t>
      </w:r>
      <w:r>
        <w:t xml:space="preserve">vía WebEx entre </w:t>
      </w:r>
      <w:r w:rsidR="00CF2EF1">
        <w:t>la Coordinadora</w:t>
      </w:r>
      <w:r w:rsidR="00285D5F">
        <w:t xml:space="preserve"> del </w:t>
      </w:r>
      <w:r w:rsidR="00711080">
        <w:t>GT</w:t>
      </w:r>
      <w:r>
        <w:t>-</w:t>
      </w:r>
      <w:r w:rsidR="00711080">
        <w:t>I</w:t>
      </w:r>
      <w:r w:rsidR="00CF2EF1">
        <w:t>DE</w:t>
      </w:r>
      <w:r w:rsidR="00711080">
        <w:t xml:space="preserve"> </w:t>
      </w:r>
      <w:r>
        <w:t xml:space="preserve">y los Estados Miembros que conforman el </w:t>
      </w:r>
      <w:r w:rsidR="005A0F32">
        <w:t>Comité Regional de Naciones Unidas sobre Gestión Global de Información Geoespacial de las Américas</w:t>
      </w:r>
      <w:r>
        <w:t xml:space="preserve">, </w:t>
      </w:r>
      <w:r w:rsidR="00285D5F">
        <w:t>con el objetivo de</w:t>
      </w:r>
      <w:r>
        <w:t xml:space="preserve"> </w:t>
      </w:r>
      <w:r w:rsidR="00E75237">
        <w:t>compartir los avances del plan de trabajo para el 201</w:t>
      </w:r>
      <w:r w:rsidR="005A0F32">
        <w:t>9 y siguientes pasos.</w:t>
      </w:r>
    </w:p>
    <w:p w14:paraId="091679ED" w14:textId="77777777" w:rsidR="00711080" w:rsidRDefault="0087158A" w:rsidP="000109B0">
      <w:pPr>
        <w:jc w:val="both"/>
        <w:rPr>
          <w:b/>
        </w:rPr>
      </w:pPr>
      <w:r>
        <w:rPr>
          <w:b/>
        </w:rPr>
        <w:t>Países p</w:t>
      </w:r>
      <w:r w:rsidR="00711080" w:rsidRPr="00711080">
        <w:rPr>
          <w:b/>
        </w:rPr>
        <w:t>articipantes</w:t>
      </w:r>
    </w:p>
    <w:p w14:paraId="3E5034E4" w14:textId="77777777" w:rsidR="00022CA8" w:rsidRDefault="0087158A" w:rsidP="000109B0">
      <w:pPr>
        <w:jc w:val="both"/>
      </w:pPr>
      <w:r>
        <w:t>Chile</w:t>
      </w:r>
      <w:r w:rsidR="00835A0F">
        <w:t xml:space="preserve"> (Coordina</w:t>
      </w:r>
      <w:r>
        <w:t>ción</w:t>
      </w:r>
      <w:r w:rsidR="00835A0F">
        <w:t xml:space="preserve"> del GT-IDE)</w:t>
      </w:r>
    </w:p>
    <w:p w14:paraId="2609E6B9" w14:textId="77777777" w:rsidR="00E75237" w:rsidRDefault="0087158A" w:rsidP="000109B0">
      <w:pPr>
        <w:jc w:val="both"/>
      </w:pPr>
      <w:r>
        <w:t>CEPAL</w:t>
      </w:r>
    </w:p>
    <w:p w14:paraId="64E4FD27" w14:textId="77777777" w:rsidR="005A0F32" w:rsidRDefault="005A0F32" w:rsidP="000109B0">
      <w:pPr>
        <w:jc w:val="both"/>
      </w:pPr>
      <w:r>
        <w:t>Antigua &amp; Barbuda</w:t>
      </w:r>
    </w:p>
    <w:p w14:paraId="3FD0B8FB" w14:textId="77777777" w:rsidR="005A0F32" w:rsidRDefault="005A0F32" w:rsidP="000109B0">
      <w:pPr>
        <w:jc w:val="both"/>
      </w:pPr>
      <w:r>
        <w:t>Barbados</w:t>
      </w:r>
    </w:p>
    <w:p w14:paraId="455539AB" w14:textId="77777777" w:rsidR="005A0F32" w:rsidRDefault="005A0F32" w:rsidP="000109B0">
      <w:pPr>
        <w:jc w:val="both"/>
      </w:pPr>
      <w:r>
        <w:t>Canadá</w:t>
      </w:r>
    </w:p>
    <w:p w14:paraId="71922FB5" w14:textId="77777777" w:rsidR="00717F67" w:rsidRPr="005A0F32" w:rsidRDefault="00145FDD" w:rsidP="000109B0">
      <w:pPr>
        <w:jc w:val="both"/>
      </w:pPr>
      <w:r w:rsidRPr="005A0F32">
        <w:t>Guyana</w:t>
      </w:r>
    </w:p>
    <w:p w14:paraId="103D23C0" w14:textId="40D5F94D" w:rsidR="00E75237" w:rsidRDefault="00E75237" w:rsidP="000109B0">
      <w:pPr>
        <w:jc w:val="both"/>
      </w:pPr>
      <w:r>
        <w:t>Barbados</w:t>
      </w:r>
    </w:p>
    <w:p w14:paraId="6BC9D656" w14:textId="0E3D78B5" w:rsidR="00E657FD" w:rsidRDefault="00E657FD" w:rsidP="000109B0">
      <w:pPr>
        <w:jc w:val="both"/>
      </w:pPr>
      <w:r>
        <w:t>El Salvador</w:t>
      </w:r>
      <w:bookmarkStart w:id="0" w:name="_GoBack"/>
      <w:bookmarkEnd w:id="0"/>
    </w:p>
    <w:p w14:paraId="14912CEF" w14:textId="77777777" w:rsidR="005A0F32" w:rsidRDefault="005A0F32" w:rsidP="000109B0">
      <w:pPr>
        <w:jc w:val="both"/>
      </w:pPr>
      <w:r>
        <w:t>Honduras</w:t>
      </w:r>
    </w:p>
    <w:p w14:paraId="2075786F" w14:textId="77777777" w:rsidR="005A0F32" w:rsidRDefault="005A0F32" w:rsidP="000109B0">
      <w:pPr>
        <w:jc w:val="both"/>
      </w:pPr>
      <w:r>
        <w:t>México</w:t>
      </w:r>
    </w:p>
    <w:p w14:paraId="559A0939" w14:textId="77777777" w:rsidR="00E75237" w:rsidRDefault="00E75237" w:rsidP="000109B0">
      <w:pPr>
        <w:jc w:val="both"/>
      </w:pPr>
      <w:r>
        <w:t>Nicaragua</w:t>
      </w:r>
    </w:p>
    <w:p w14:paraId="1160B3D0" w14:textId="77777777" w:rsidR="00E75237" w:rsidRDefault="00E75237" w:rsidP="000109B0">
      <w:pPr>
        <w:jc w:val="both"/>
      </w:pPr>
      <w:r>
        <w:t>Perú</w:t>
      </w:r>
    </w:p>
    <w:p w14:paraId="45DEFFD0" w14:textId="77777777" w:rsidR="005A0F32" w:rsidRPr="005A0F32" w:rsidRDefault="005A0F32" w:rsidP="005A0F32">
      <w:pPr>
        <w:jc w:val="both"/>
      </w:pPr>
      <w:r w:rsidRPr="005A0F32">
        <w:t>República Dominicana</w:t>
      </w:r>
    </w:p>
    <w:p w14:paraId="1708B2D2" w14:textId="77777777" w:rsidR="005A0F32" w:rsidRPr="00FF048D" w:rsidRDefault="005A0F32" w:rsidP="005A0F32">
      <w:pPr>
        <w:jc w:val="both"/>
        <w:rPr>
          <w:lang w:val="en-US"/>
        </w:rPr>
      </w:pPr>
      <w:r w:rsidRPr="00FF048D">
        <w:rPr>
          <w:lang w:val="en-US"/>
        </w:rPr>
        <w:t>Saint Vincent &amp; the Grenadines</w:t>
      </w:r>
    </w:p>
    <w:p w14:paraId="43C0D71D" w14:textId="77777777" w:rsidR="005A0F32" w:rsidRPr="00FF048D" w:rsidRDefault="005A0F32" w:rsidP="000109B0">
      <w:pPr>
        <w:jc w:val="both"/>
        <w:rPr>
          <w:lang w:val="en-US"/>
        </w:rPr>
      </w:pPr>
      <w:r w:rsidRPr="00FF048D">
        <w:rPr>
          <w:lang w:val="en-US"/>
        </w:rPr>
        <w:t>Uruguay</w:t>
      </w:r>
    </w:p>
    <w:p w14:paraId="58094F8C" w14:textId="77777777" w:rsidR="005A0F32" w:rsidRPr="00FF048D" w:rsidRDefault="005A0F32" w:rsidP="000109B0">
      <w:pPr>
        <w:jc w:val="both"/>
        <w:rPr>
          <w:lang w:val="en-US"/>
        </w:rPr>
      </w:pPr>
      <w:r w:rsidRPr="00FF048D">
        <w:rPr>
          <w:lang w:val="en-US"/>
        </w:rPr>
        <w:t>Venezuela</w:t>
      </w:r>
    </w:p>
    <w:p w14:paraId="783D89CB" w14:textId="77777777" w:rsidR="005A0F32" w:rsidRDefault="005A0F32" w:rsidP="000109B0">
      <w:pPr>
        <w:jc w:val="both"/>
      </w:pPr>
      <w:r>
        <w:t>Valrie Grant – PSN-A</w:t>
      </w:r>
    </w:p>
    <w:p w14:paraId="6BDC2C13" w14:textId="77777777" w:rsidR="00285D5F" w:rsidRDefault="00881F63" w:rsidP="000109B0">
      <w:pPr>
        <w:jc w:val="both"/>
        <w:rPr>
          <w:b/>
        </w:rPr>
      </w:pPr>
      <w:r>
        <w:rPr>
          <w:b/>
        </w:rPr>
        <w:t>Agenda</w:t>
      </w:r>
    </w:p>
    <w:p w14:paraId="7893D481" w14:textId="77777777" w:rsidR="00A96A95" w:rsidRDefault="00A96A95" w:rsidP="000109B0">
      <w:pPr>
        <w:jc w:val="both"/>
        <w:rPr>
          <w:b/>
        </w:rPr>
      </w:pPr>
      <w:r>
        <w:rPr>
          <w:b/>
        </w:rPr>
        <w:t>Objetivos de trabajo del Grupo para el año 2019</w:t>
      </w:r>
    </w:p>
    <w:p w14:paraId="5A4C3F97" w14:textId="77777777" w:rsidR="00E75237" w:rsidRPr="004647E6" w:rsidRDefault="00E75237" w:rsidP="00E75237">
      <w:pPr>
        <w:pStyle w:val="Prrafodelista"/>
        <w:numPr>
          <w:ilvl w:val="0"/>
          <w:numId w:val="3"/>
        </w:numPr>
        <w:spacing w:after="200" w:line="276" w:lineRule="auto"/>
        <w:rPr>
          <w:szCs w:val="24"/>
        </w:rPr>
      </w:pPr>
      <w:r>
        <w:rPr>
          <w:szCs w:val="24"/>
        </w:rPr>
        <w:lastRenderedPageBreak/>
        <w:t>Estatus del procesamiento de datos de Encuesta</w:t>
      </w:r>
    </w:p>
    <w:p w14:paraId="3A305EE5" w14:textId="77777777" w:rsidR="00E75237" w:rsidRDefault="001029C2" w:rsidP="00E75237">
      <w:pPr>
        <w:pStyle w:val="Prrafodelista"/>
        <w:numPr>
          <w:ilvl w:val="0"/>
          <w:numId w:val="3"/>
        </w:numPr>
        <w:spacing w:after="200" w:line="276" w:lineRule="auto"/>
        <w:rPr>
          <w:szCs w:val="24"/>
        </w:rPr>
      </w:pPr>
      <w:r>
        <w:rPr>
          <w:szCs w:val="24"/>
        </w:rPr>
        <w:t>Repositorio documental</w:t>
      </w:r>
    </w:p>
    <w:p w14:paraId="6CB54544" w14:textId="77777777" w:rsidR="001029C2" w:rsidRPr="00F9536B" w:rsidRDefault="001029C2" w:rsidP="00E75237">
      <w:pPr>
        <w:pStyle w:val="Prrafodelista"/>
        <w:numPr>
          <w:ilvl w:val="0"/>
          <w:numId w:val="3"/>
        </w:numPr>
        <w:spacing w:after="200" w:line="276" w:lineRule="auto"/>
        <w:rPr>
          <w:szCs w:val="24"/>
        </w:rPr>
      </w:pPr>
      <w:r w:rsidRPr="00F9536B">
        <w:rPr>
          <w:szCs w:val="24"/>
        </w:rPr>
        <w:t>Pasos a seguir</w:t>
      </w:r>
    </w:p>
    <w:p w14:paraId="012F25E3" w14:textId="77777777" w:rsidR="00881F63" w:rsidRPr="00F9536B" w:rsidRDefault="00881F63" w:rsidP="000109B0">
      <w:pPr>
        <w:jc w:val="both"/>
        <w:rPr>
          <w:b/>
          <w:bCs/>
        </w:rPr>
      </w:pPr>
      <w:r w:rsidRPr="00F9536B">
        <w:rPr>
          <w:b/>
          <w:bCs/>
        </w:rPr>
        <w:t>Acuerdos</w:t>
      </w:r>
    </w:p>
    <w:p w14:paraId="08CD2366" w14:textId="6C7B47CE" w:rsidR="00365DCD" w:rsidRDefault="00F9536B" w:rsidP="001029C2">
      <w:pPr>
        <w:pStyle w:val="Prrafodelista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Con respecto a la Encuesta para el diagnóstico regional sobre las Infraestructuras de Datos Geoespaciales, Macarena Pérez mostró el listado de los países que </w:t>
      </w:r>
      <w:r w:rsidR="00A96A95">
        <w:rPr>
          <w:bCs/>
        </w:rPr>
        <w:t xml:space="preserve">no </w:t>
      </w:r>
      <w:r>
        <w:rPr>
          <w:bCs/>
        </w:rPr>
        <w:t>han contestado</w:t>
      </w:r>
      <w:r w:rsidR="00A96A95">
        <w:rPr>
          <w:bCs/>
        </w:rPr>
        <w:t xml:space="preserve"> al cuestionario insumo para la generación del indicador regional. Se </w:t>
      </w:r>
      <w:r>
        <w:rPr>
          <w:bCs/>
        </w:rPr>
        <w:t xml:space="preserve">solicitó el apoyo de </w:t>
      </w:r>
      <w:r w:rsidR="00AE510F">
        <w:rPr>
          <w:bCs/>
        </w:rPr>
        <w:t xml:space="preserve">los </w:t>
      </w:r>
      <w:r>
        <w:rPr>
          <w:bCs/>
        </w:rPr>
        <w:t xml:space="preserve">representantes para que envíen sus respuestas </w:t>
      </w:r>
      <w:r w:rsidR="00FF048D">
        <w:rPr>
          <w:bCs/>
        </w:rPr>
        <w:t>a más tardar el viernes 14</w:t>
      </w:r>
      <w:r>
        <w:rPr>
          <w:bCs/>
        </w:rPr>
        <w:t xml:space="preserve"> junio, con el fin de que puedan ser incluidos en el procesamiento de los datos y en la plataforma interactiva.</w:t>
      </w:r>
    </w:p>
    <w:p w14:paraId="40D3C0CB" w14:textId="77777777" w:rsidR="00F9536B" w:rsidRDefault="00F9536B" w:rsidP="00F9536B">
      <w:pPr>
        <w:jc w:val="both"/>
        <w:rPr>
          <w:bCs/>
        </w:rPr>
      </w:pPr>
      <w:r>
        <w:rPr>
          <w:bCs/>
        </w:rPr>
        <w:t>A continuación, se enlistan los países que aún no han enviado sus respuestas: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2576"/>
        <w:gridCol w:w="2952"/>
      </w:tblGrid>
      <w:tr w:rsidR="00F9536B" w14:paraId="3EA75F4C" w14:textId="77777777" w:rsidTr="00AE510F">
        <w:tc>
          <w:tcPr>
            <w:tcW w:w="2576" w:type="dxa"/>
            <w:shd w:val="clear" w:color="auto" w:fill="D9D9D9" w:themeFill="background1" w:themeFillShade="D9"/>
          </w:tcPr>
          <w:p w14:paraId="16980EB1" w14:textId="77777777" w:rsidR="00F9536B" w:rsidRPr="00AE510F" w:rsidRDefault="00AE510F" w:rsidP="00AE510F">
            <w:pPr>
              <w:jc w:val="center"/>
              <w:rPr>
                <w:b/>
              </w:rPr>
            </w:pPr>
            <w:r w:rsidRPr="00AE510F">
              <w:rPr>
                <w:b/>
              </w:rPr>
              <w:t>PAÍS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2785D7D" w14:textId="77777777" w:rsidR="00F9536B" w:rsidRPr="00AE510F" w:rsidRDefault="00AE510F" w:rsidP="00AE510F">
            <w:pPr>
              <w:jc w:val="center"/>
              <w:rPr>
                <w:b/>
              </w:rPr>
            </w:pPr>
            <w:r w:rsidRPr="00AE510F">
              <w:rPr>
                <w:b/>
              </w:rPr>
              <w:t>REPRESENTANTE</w:t>
            </w:r>
          </w:p>
        </w:tc>
      </w:tr>
      <w:tr w:rsidR="00F9536B" w14:paraId="2E0075B1" w14:textId="77777777" w:rsidTr="00AE510F">
        <w:tc>
          <w:tcPr>
            <w:tcW w:w="2576" w:type="dxa"/>
          </w:tcPr>
          <w:p w14:paraId="35FFCD1D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Bolivia</w:t>
            </w:r>
          </w:p>
        </w:tc>
        <w:tc>
          <w:tcPr>
            <w:tcW w:w="2952" w:type="dxa"/>
          </w:tcPr>
          <w:p w14:paraId="316C9798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Marcos Centeno</w:t>
            </w:r>
          </w:p>
        </w:tc>
      </w:tr>
      <w:tr w:rsidR="00F9536B" w14:paraId="7921BEA8" w14:textId="77777777" w:rsidTr="00AE510F">
        <w:tc>
          <w:tcPr>
            <w:tcW w:w="2576" w:type="dxa"/>
          </w:tcPr>
          <w:p w14:paraId="62AFC81D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Brasil</w:t>
            </w:r>
          </w:p>
        </w:tc>
        <w:tc>
          <w:tcPr>
            <w:tcW w:w="2952" w:type="dxa"/>
          </w:tcPr>
          <w:p w14:paraId="0C9CDEF3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Joao Bosco</w:t>
            </w:r>
          </w:p>
        </w:tc>
      </w:tr>
      <w:tr w:rsidR="00F9536B" w14:paraId="18984853" w14:textId="77777777" w:rsidTr="00AE510F">
        <w:tc>
          <w:tcPr>
            <w:tcW w:w="2576" w:type="dxa"/>
          </w:tcPr>
          <w:p w14:paraId="1E9C1D95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Haïti</w:t>
            </w:r>
          </w:p>
        </w:tc>
        <w:tc>
          <w:tcPr>
            <w:tcW w:w="2952" w:type="dxa"/>
          </w:tcPr>
          <w:p w14:paraId="66279BFE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Boby Emmanuel Piard</w:t>
            </w:r>
          </w:p>
        </w:tc>
      </w:tr>
      <w:tr w:rsidR="00F9536B" w14:paraId="4A2F9A54" w14:textId="77777777" w:rsidTr="00AE510F">
        <w:tc>
          <w:tcPr>
            <w:tcW w:w="2576" w:type="dxa"/>
          </w:tcPr>
          <w:p w14:paraId="251B64F5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Jamaica</w:t>
            </w:r>
          </w:p>
        </w:tc>
        <w:tc>
          <w:tcPr>
            <w:tcW w:w="2952" w:type="dxa"/>
          </w:tcPr>
          <w:p w14:paraId="26FCC573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Simone Lloyd</w:t>
            </w:r>
          </w:p>
        </w:tc>
      </w:tr>
      <w:tr w:rsidR="00F9536B" w14:paraId="229D8B6F" w14:textId="77777777" w:rsidTr="00AE510F">
        <w:tc>
          <w:tcPr>
            <w:tcW w:w="2576" w:type="dxa"/>
          </w:tcPr>
          <w:p w14:paraId="1F406248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St. Kitts and Nevis</w:t>
            </w:r>
          </w:p>
        </w:tc>
        <w:tc>
          <w:tcPr>
            <w:tcW w:w="2952" w:type="dxa"/>
          </w:tcPr>
          <w:p w14:paraId="04072EDD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Dwight Francis</w:t>
            </w:r>
          </w:p>
        </w:tc>
      </w:tr>
      <w:tr w:rsidR="00F9536B" w14:paraId="40A59458" w14:textId="77777777" w:rsidTr="00AE510F">
        <w:tc>
          <w:tcPr>
            <w:tcW w:w="2576" w:type="dxa"/>
          </w:tcPr>
          <w:p w14:paraId="10FAEF2E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Saint Lucia</w:t>
            </w:r>
          </w:p>
        </w:tc>
        <w:tc>
          <w:tcPr>
            <w:tcW w:w="2952" w:type="dxa"/>
          </w:tcPr>
          <w:p w14:paraId="05B660A0" w14:textId="77777777" w:rsidR="00F9536B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Hildreth Lewis</w:t>
            </w:r>
          </w:p>
        </w:tc>
      </w:tr>
      <w:tr w:rsidR="00AE510F" w14:paraId="06CB81DC" w14:textId="77777777" w:rsidTr="00AE510F">
        <w:tc>
          <w:tcPr>
            <w:tcW w:w="2576" w:type="dxa"/>
          </w:tcPr>
          <w:p w14:paraId="2B38D2FB" w14:textId="77777777" w:rsidR="00AE510F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Saint Vincent</w:t>
            </w:r>
          </w:p>
        </w:tc>
        <w:tc>
          <w:tcPr>
            <w:tcW w:w="2952" w:type="dxa"/>
          </w:tcPr>
          <w:p w14:paraId="3E02A6F3" w14:textId="77777777" w:rsidR="00AE510F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Keith Francis</w:t>
            </w:r>
          </w:p>
        </w:tc>
      </w:tr>
      <w:tr w:rsidR="00AE510F" w14:paraId="0D588A30" w14:textId="77777777" w:rsidTr="00AE510F">
        <w:tc>
          <w:tcPr>
            <w:tcW w:w="2576" w:type="dxa"/>
          </w:tcPr>
          <w:p w14:paraId="484196A2" w14:textId="77777777" w:rsidR="00AE510F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Suriname</w:t>
            </w:r>
          </w:p>
        </w:tc>
        <w:tc>
          <w:tcPr>
            <w:tcW w:w="2952" w:type="dxa"/>
          </w:tcPr>
          <w:p w14:paraId="173CAA28" w14:textId="77777777" w:rsidR="00AE510F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Silvano Tjong-Ahin</w:t>
            </w:r>
          </w:p>
        </w:tc>
      </w:tr>
      <w:tr w:rsidR="00AE510F" w14:paraId="396BCBA9" w14:textId="77777777" w:rsidTr="00AE510F">
        <w:tc>
          <w:tcPr>
            <w:tcW w:w="2576" w:type="dxa"/>
          </w:tcPr>
          <w:p w14:paraId="18BA1C1F" w14:textId="77777777" w:rsidR="00AE510F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Trinidad &amp; Tobago</w:t>
            </w:r>
          </w:p>
        </w:tc>
        <w:tc>
          <w:tcPr>
            <w:tcW w:w="2952" w:type="dxa"/>
          </w:tcPr>
          <w:p w14:paraId="36D58C15" w14:textId="77777777" w:rsidR="00AE510F" w:rsidRDefault="00AE510F" w:rsidP="00F9536B">
            <w:pPr>
              <w:jc w:val="both"/>
              <w:rPr>
                <w:bCs/>
              </w:rPr>
            </w:pPr>
            <w:r>
              <w:rPr>
                <w:bCs/>
              </w:rPr>
              <w:t>Alicia Naimool</w:t>
            </w:r>
          </w:p>
        </w:tc>
      </w:tr>
    </w:tbl>
    <w:p w14:paraId="7770D78D" w14:textId="77777777" w:rsidR="00F9536B" w:rsidRDefault="00F9536B" w:rsidP="00F9536B">
      <w:pPr>
        <w:jc w:val="both"/>
        <w:rPr>
          <w:bCs/>
        </w:rPr>
      </w:pPr>
    </w:p>
    <w:p w14:paraId="3F0A2F2A" w14:textId="77777777" w:rsidR="00AE510F" w:rsidRDefault="008F3DA0" w:rsidP="00AE510F">
      <w:pPr>
        <w:pStyle w:val="Prrafodelista"/>
        <w:numPr>
          <w:ilvl w:val="0"/>
          <w:numId w:val="7"/>
        </w:numPr>
        <w:jc w:val="both"/>
        <w:rPr>
          <w:bCs/>
        </w:rPr>
      </w:pPr>
      <w:r>
        <w:rPr>
          <w:bCs/>
        </w:rPr>
        <w:t>En cuanto</w:t>
      </w:r>
      <w:r w:rsidR="00AE510F">
        <w:rPr>
          <w:bCs/>
        </w:rPr>
        <w:t xml:space="preserve"> al segundo objetivo sobre la sistematización de información para la creación de un repositorio documental en la Web, Macarena Pérez solicitó a todos los representantes que compartan los documentos</w:t>
      </w:r>
      <w:r w:rsidR="0087158A" w:rsidRPr="0087158A">
        <w:rPr>
          <w:bCs/>
          <w:color w:val="FF0000"/>
        </w:rPr>
        <w:t xml:space="preserve"> </w:t>
      </w:r>
      <w:r w:rsidR="00A96A95" w:rsidRPr="00FF048D">
        <w:rPr>
          <w:bCs/>
        </w:rPr>
        <w:t xml:space="preserve">en respuesta a correo electrónico que será enviado durante el mes de Junio. La finalidad de este repositorio es disponer documentos de trabajo de los países de la región para su difusión y aplicación. </w:t>
      </w:r>
    </w:p>
    <w:p w14:paraId="04C02A50" w14:textId="77777777" w:rsidR="0087158A" w:rsidRDefault="0087158A" w:rsidP="0087158A">
      <w:pPr>
        <w:jc w:val="both"/>
        <w:rPr>
          <w:bCs/>
        </w:rPr>
      </w:pPr>
      <w:r>
        <w:rPr>
          <w:bCs/>
        </w:rPr>
        <w:t>A continuación, se enlistan los países que ya enviaron documentación para el repositorio: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</w:tblGrid>
      <w:tr w:rsidR="0087158A" w14:paraId="0F35F1A0" w14:textId="77777777" w:rsidTr="0087158A">
        <w:trPr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5B24008C" w14:textId="77777777" w:rsidR="0087158A" w:rsidRPr="0087158A" w:rsidRDefault="0087158A" w:rsidP="0087158A">
            <w:pPr>
              <w:jc w:val="center"/>
              <w:rPr>
                <w:b/>
              </w:rPr>
            </w:pPr>
            <w:r w:rsidRPr="0087158A">
              <w:rPr>
                <w:b/>
              </w:rPr>
              <w:t>PAÍS</w:t>
            </w:r>
          </w:p>
        </w:tc>
      </w:tr>
      <w:tr w:rsidR="0087158A" w14:paraId="7BD95E36" w14:textId="77777777" w:rsidTr="0087158A">
        <w:trPr>
          <w:jc w:val="center"/>
        </w:trPr>
        <w:tc>
          <w:tcPr>
            <w:tcW w:w="3397" w:type="dxa"/>
          </w:tcPr>
          <w:p w14:paraId="238336C8" w14:textId="77777777" w:rsidR="0087158A" w:rsidRDefault="0087158A" w:rsidP="0087158A">
            <w:pPr>
              <w:rPr>
                <w:bCs/>
              </w:rPr>
            </w:pPr>
            <w:r>
              <w:rPr>
                <w:bCs/>
              </w:rPr>
              <w:t>Canadá</w:t>
            </w:r>
          </w:p>
        </w:tc>
      </w:tr>
      <w:tr w:rsidR="0087158A" w14:paraId="6A3FB66A" w14:textId="77777777" w:rsidTr="0087158A">
        <w:trPr>
          <w:jc w:val="center"/>
        </w:trPr>
        <w:tc>
          <w:tcPr>
            <w:tcW w:w="3397" w:type="dxa"/>
          </w:tcPr>
          <w:p w14:paraId="5D00295D" w14:textId="77777777" w:rsidR="0087158A" w:rsidRDefault="0087158A" w:rsidP="0087158A">
            <w:pPr>
              <w:rPr>
                <w:bCs/>
              </w:rPr>
            </w:pPr>
            <w:r>
              <w:rPr>
                <w:bCs/>
              </w:rPr>
              <w:t>Colombia</w:t>
            </w:r>
          </w:p>
        </w:tc>
      </w:tr>
      <w:tr w:rsidR="0087158A" w14:paraId="7BBBCD20" w14:textId="77777777" w:rsidTr="0087158A">
        <w:trPr>
          <w:jc w:val="center"/>
        </w:trPr>
        <w:tc>
          <w:tcPr>
            <w:tcW w:w="3397" w:type="dxa"/>
          </w:tcPr>
          <w:p w14:paraId="2945F459" w14:textId="77777777" w:rsidR="0087158A" w:rsidRDefault="0087158A" w:rsidP="0087158A">
            <w:pPr>
              <w:rPr>
                <w:bCs/>
              </w:rPr>
            </w:pPr>
            <w:r>
              <w:rPr>
                <w:bCs/>
              </w:rPr>
              <w:t>Honduras</w:t>
            </w:r>
          </w:p>
        </w:tc>
      </w:tr>
      <w:tr w:rsidR="0087158A" w14:paraId="52EBBDB3" w14:textId="77777777" w:rsidTr="0087158A">
        <w:trPr>
          <w:jc w:val="center"/>
        </w:trPr>
        <w:tc>
          <w:tcPr>
            <w:tcW w:w="3397" w:type="dxa"/>
          </w:tcPr>
          <w:p w14:paraId="6EB939CF" w14:textId="77777777" w:rsidR="0087158A" w:rsidRDefault="0087158A" w:rsidP="0087158A">
            <w:pPr>
              <w:rPr>
                <w:bCs/>
              </w:rPr>
            </w:pPr>
            <w:r>
              <w:rPr>
                <w:bCs/>
              </w:rPr>
              <w:t>Panamá</w:t>
            </w:r>
          </w:p>
        </w:tc>
      </w:tr>
    </w:tbl>
    <w:p w14:paraId="38D94D7A" w14:textId="77777777" w:rsidR="0087158A" w:rsidRPr="0087158A" w:rsidRDefault="0087158A" w:rsidP="0087158A">
      <w:pPr>
        <w:jc w:val="both"/>
        <w:rPr>
          <w:bCs/>
        </w:rPr>
      </w:pPr>
    </w:p>
    <w:p w14:paraId="037E05CF" w14:textId="7114AB64" w:rsidR="00F9536B" w:rsidRPr="00F9536B" w:rsidRDefault="00FF048D" w:rsidP="00F9536B">
      <w:pPr>
        <w:jc w:val="both"/>
        <w:rPr>
          <w:bCs/>
        </w:rPr>
      </w:pPr>
      <w:r>
        <w:rPr>
          <w:bCs/>
        </w:rPr>
        <w:t>Macarena Pérez recalcó</w:t>
      </w:r>
      <w:r w:rsidR="00A96A95">
        <w:rPr>
          <w:bCs/>
        </w:rPr>
        <w:t xml:space="preserve"> que para la elaboración del repositorio documental asociado a este objetivo, se utilizará el software creado por el SNIT- IDE Chile denominado GEONODO, explicando las características de búsqueda y accesos para la creación de la base documental. </w:t>
      </w:r>
    </w:p>
    <w:p w14:paraId="14B18A6D" w14:textId="77777777" w:rsidR="000109B0" w:rsidRPr="00881F63" w:rsidRDefault="000109B0" w:rsidP="000109B0">
      <w:pPr>
        <w:jc w:val="both"/>
      </w:pPr>
    </w:p>
    <w:sectPr w:rsidR="000109B0" w:rsidRPr="00881F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FF4"/>
    <w:multiLevelType w:val="hybridMultilevel"/>
    <w:tmpl w:val="4DBEF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B682C"/>
    <w:multiLevelType w:val="hybridMultilevel"/>
    <w:tmpl w:val="31285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2282"/>
    <w:multiLevelType w:val="hybridMultilevel"/>
    <w:tmpl w:val="D382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6522"/>
    <w:multiLevelType w:val="hybridMultilevel"/>
    <w:tmpl w:val="E9AC1E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A544E"/>
    <w:multiLevelType w:val="hybridMultilevel"/>
    <w:tmpl w:val="437E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1F87"/>
    <w:multiLevelType w:val="hybridMultilevel"/>
    <w:tmpl w:val="63DC7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60C1B"/>
    <w:multiLevelType w:val="hybridMultilevel"/>
    <w:tmpl w:val="EB780C38"/>
    <w:lvl w:ilvl="0" w:tplc="31504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5F"/>
    <w:rsid w:val="000109B0"/>
    <w:rsid w:val="00017763"/>
    <w:rsid w:val="000227AF"/>
    <w:rsid w:val="00022CA8"/>
    <w:rsid w:val="0005359D"/>
    <w:rsid w:val="00085CC9"/>
    <w:rsid w:val="000A5FBD"/>
    <w:rsid w:val="000D4305"/>
    <w:rsid w:val="001029C2"/>
    <w:rsid w:val="001118E5"/>
    <w:rsid w:val="00142298"/>
    <w:rsid w:val="00145FDD"/>
    <w:rsid w:val="00155E51"/>
    <w:rsid w:val="001B07EC"/>
    <w:rsid w:val="001C7233"/>
    <w:rsid w:val="001E1007"/>
    <w:rsid w:val="00213B87"/>
    <w:rsid w:val="002736D9"/>
    <w:rsid w:val="00285D5F"/>
    <w:rsid w:val="00294773"/>
    <w:rsid w:val="002A3FA2"/>
    <w:rsid w:val="002B4890"/>
    <w:rsid w:val="003101EE"/>
    <w:rsid w:val="00343FCF"/>
    <w:rsid w:val="0035215F"/>
    <w:rsid w:val="00365DCD"/>
    <w:rsid w:val="00373443"/>
    <w:rsid w:val="003B2234"/>
    <w:rsid w:val="003B2449"/>
    <w:rsid w:val="004354CC"/>
    <w:rsid w:val="00435DF8"/>
    <w:rsid w:val="00482ED3"/>
    <w:rsid w:val="004A74C7"/>
    <w:rsid w:val="004E07A1"/>
    <w:rsid w:val="00545D21"/>
    <w:rsid w:val="00554382"/>
    <w:rsid w:val="00557105"/>
    <w:rsid w:val="00576940"/>
    <w:rsid w:val="00577E8B"/>
    <w:rsid w:val="005A0F32"/>
    <w:rsid w:val="005A493D"/>
    <w:rsid w:val="006676ED"/>
    <w:rsid w:val="006700CE"/>
    <w:rsid w:val="006746AA"/>
    <w:rsid w:val="00697CB4"/>
    <w:rsid w:val="006C64ED"/>
    <w:rsid w:val="00711080"/>
    <w:rsid w:val="0071647B"/>
    <w:rsid w:val="00717F67"/>
    <w:rsid w:val="00795E64"/>
    <w:rsid w:val="007D1376"/>
    <w:rsid w:val="007D3740"/>
    <w:rsid w:val="007E4CB5"/>
    <w:rsid w:val="007E594E"/>
    <w:rsid w:val="007F4B50"/>
    <w:rsid w:val="008043B5"/>
    <w:rsid w:val="008073A6"/>
    <w:rsid w:val="00823477"/>
    <w:rsid w:val="00835A0F"/>
    <w:rsid w:val="00863B35"/>
    <w:rsid w:val="0087158A"/>
    <w:rsid w:val="00881F63"/>
    <w:rsid w:val="008A6574"/>
    <w:rsid w:val="008B63E7"/>
    <w:rsid w:val="008B7E02"/>
    <w:rsid w:val="008F3DA0"/>
    <w:rsid w:val="009014EA"/>
    <w:rsid w:val="0093132B"/>
    <w:rsid w:val="00957087"/>
    <w:rsid w:val="00977A4C"/>
    <w:rsid w:val="00991913"/>
    <w:rsid w:val="009B57F0"/>
    <w:rsid w:val="009F0E9B"/>
    <w:rsid w:val="00A16805"/>
    <w:rsid w:val="00A20B2B"/>
    <w:rsid w:val="00A83957"/>
    <w:rsid w:val="00A96A95"/>
    <w:rsid w:val="00AD19BE"/>
    <w:rsid w:val="00AE510F"/>
    <w:rsid w:val="00AE719B"/>
    <w:rsid w:val="00AF358F"/>
    <w:rsid w:val="00B36E3B"/>
    <w:rsid w:val="00B5136C"/>
    <w:rsid w:val="00B51805"/>
    <w:rsid w:val="00B57526"/>
    <w:rsid w:val="00B71E45"/>
    <w:rsid w:val="00BC613C"/>
    <w:rsid w:val="00BD52A3"/>
    <w:rsid w:val="00C120B0"/>
    <w:rsid w:val="00CA7A70"/>
    <w:rsid w:val="00CF2EF1"/>
    <w:rsid w:val="00D21565"/>
    <w:rsid w:val="00D309BE"/>
    <w:rsid w:val="00D61EFF"/>
    <w:rsid w:val="00E4699B"/>
    <w:rsid w:val="00E54130"/>
    <w:rsid w:val="00E657FD"/>
    <w:rsid w:val="00E75237"/>
    <w:rsid w:val="00E93451"/>
    <w:rsid w:val="00E93AB8"/>
    <w:rsid w:val="00EB5597"/>
    <w:rsid w:val="00EE5484"/>
    <w:rsid w:val="00F017DD"/>
    <w:rsid w:val="00F56D59"/>
    <w:rsid w:val="00F95253"/>
    <w:rsid w:val="00F9536B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F900"/>
  <w15:docId w15:val="{A4872382-00B4-470B-9281-EF36AF8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F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E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9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96A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6A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6A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A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5064-51B8-4279-B757-940B99B1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 SECO GABRIELA</dc:creator>
  <cp:lastModifiedBy>GARCIA SECO GABRIELA</cp:lastModifiedBy>
  <cp:revision>3</cp:revision>
  <dcterms:created xsi:type="dcterms:W3CDTF">2019-06-14T14:30:00Z</dcterms:created>
  <dcterms:modified xsi:type="dcterms:W3CDTF">2019-06-18T16:13:00Z</dcterms:modified>
</cp:coreProperties>
</file>